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об организации в администрации Анжеро-Судженского городского округа системы внутреннего обеспечения соответствия требованиям антимонопольного законодательства за 2025 год.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доклад подготовлен в соответствии с Указом Президента Российской Федерации от 21.12.2017 №618 «Об основных направлениях государственной политики по развитию конкуренции», Федеральным законом от 26.07.2006 № 135-ФЭ «О защите конкуренции», распоряжением администрации Анжеро-Судженского городского округа от 25.01.2023 №29-р «О создании и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Анжеро-Судженского городского округа». 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Информация о внедрении антимонопольного комплаенса в администрации Анжеро-Судженского городского округа. 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системы внутреннего обеспечения соответствия требованиям антимонопольного комплаенса, администрацией Анжеро-Судженского городского округа разработаны следующие документы: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администрации Анжеро-Судженского городского округа от 25.01.2023 №29-р «О создании и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Анжеро-Судженского городского округа»;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карта комплаенс–рисков </w:t>
      </w:r>
      <w:r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 администрации Анжеро-Судженского городского, утвержденная главой городского округа 01.02.2023г.;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pacing w:val="3" w:percent="1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 мероприятий («дорожная карта») </w:t>
      </w:r>
      <w:r>
        <w:rPr>
          <w:rFonts w:ascii="Times New Roman" w:hAnsi="Times New Roman" w:cs="Times New Roman"/>
          <w:color w:val="000000"/>
          <w:spacing w:val="3" w:percent="102"/>
          <w:sz w:val="28"/>
          <w:szCs w:val="28"/>
        </w:rPr>
        <w:t xml:space="preserve">по снижению </w:t>
      </w:r>
      <w:r>
        <w:rPr>
          <w:rFonts w:ascii="Times New Roman" w:hAnsi="Times New Roman" w:cs="Times New Roman"/>
          <w:color w:val="000000"/>
          <w:spacing w:val="3" w:percent="102"/>
          <w:sz w:val="28"/>
          <w:szCs w:val="28"/>
        </w:rPr>
        <w:t>комплаенс-рисков</w:t>
      </w:r>
      <w:r>
        <w:rPr>
          <w:rFonts w:ascii="Times New Roman" w:hAnsi="Times New Roman" w:cs="Times New Roman"/>
          <w:color w:val="000000"/>
          <w:spacing w:val="3" w:percent="10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Анжеро-Судженского городского округа </w:t>
      </w:r>
      <w:r>
        <w:rPr>
          <w:rFonts w:ascii="Times New Roman" w:hAnsi="Times New Roman" w:cs="Times New Roman"/>
          <w:spacing w:val="3" w:percent="102"/>
          <w:sz w:val="28"/>
          <w:szCs w:val="28"/>
        </w:rPr>
        <w:t>на 2023 год</w:t>
      </w:r>
      <w:r>
        <w:rPr>
          <w:rFonts w:ascii="Times New Roman" w:hAnsi="Times New Roman" w:cs="Times New Roman"/>
          <w:sz w:val="28"/>
          <w:szCs w:val="28"/>
        </w:rPr>
        <w:t>, утвержденный главой городского округа 01.02.2023г.</w:t>
      </w:r>
      <w:r>
        <w:rPr>
          <w:rFonts w:ascii="Times New Roman" w:hAnsi="Times New Roman" w:cs="Times New Roman"/>
          <w:spacing w:val="3" w:percent="102"/>
          <w:sz w:val="28"/>
          <w:szCs w:val="28"/>
        </w:rPr>
        <w:t>;</w:t>
      </w:r>
      <w:r>
        <w:rPr>
          <w:rFonts w:ascii="Times New Roman" w:hAnsi="Times New Roman" w:cs="Times New Roman"/>
          <w:spacing w:val="3" w:percent="102"/>
          <w:sz w:val="28"/>
          <w:szCs w:val="28"/>
        </w:rPr>
      </w:r>
    </w:p>
    <w:p>
      <w:pPr>
        <w:ind w:firstLine="426"/>
        <w:spacing w:line="240" w:lineRule="auto"/>
        <w:jc w:val="both"/>
        <w:rPr>
          <w:rFonts w:ascii="Times New Roman" w:hAnsi="Times New Roman"/>
          <w:spacing w:val="3" w:percent="10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ключевые показатели эффективности функционирования антимонопольного комплаенса администрации Анжеро-Судженского городского округа </w:t>
      </w:r>
      <w:r>
        <w:rPr>
          <w:rFonts w:ascii="Times New Roman" w:hAnsi="Times New Roman"/>
          <w:spacing w:val="3" w:percent="102"/>
          <w:sz w:val="28"/>
          <w:szCs w:val="28"/>
        </w:rPr>
        <w:t>на 2023 год</w:t>
      </w:r>
      <w:r>
        <w:rPr>
          <w:rFonts w:ascii="Times New Roman" w:hAnsi="Times New Roman"/>
          <w:spacing w:val="3" w:percent="102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утвержденные главой городского округа 01.02.2023г.</w:t>
      </w:r>
      <w:r>
        <w:rPr>
          <w:rFonts w:ascii="Times New Roman" w:hAnsi="Times New Roman"/>
          <w:spacing w:val="3" w:percent="102"/>
          <w:sz w:val="28"/>
          <w:szCs w:val="28"/>
        </w:rPr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Анжеро-Судженского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создан раздел «Антимонопольный </w:t>
      </w:r>
      <w:r>
        <w:rPr>
          <w:rFonts w:ascii="Times New Roman" w:hAnsi="Times New Roman" w:cs="Times New Roman"/>
          <w:sz w:val="28"/>
          <w:szCs w:val="28"/>
        </w:rPr>
        <w:t>комплаенс</w:t>
      </w:r>
      <w:r>
        <w:rPr>
          <w:rFonts w:ascii="Times New Roman" w:hAnsi="Times New Roman" w:cs="Times New Roman"/>
          <w:sz w:val="28"/>
          <w:szCs w:val="28"/>
        </w:rPr>
        <w:t xml:space="preserve">», где размещена </w:t>
      </w:r>
      <w:r>
        <w:rPr>
          <w:rFonts w:ascii="Times New Roman" w:hAnsi="Times New Roman" w:cs="Times New Roman"/>
          <w:sz w:val="28"/>
          <w:szCs w:val="28"/>
        </w:rPr>
        <w:t>соответствующая информация.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Информация о результатах проведенной оценки комплаенс-рисков. В целях выявления комплаенс-рисков в 2025 году структурными подразделениями проведены следующие мероприятия: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нормативных правовых актов;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-анализ проектов нормативных и правовых актов. </w:t>
      </w:r>
    </w:p>
    <w:p>
      <w:pPr>
        <w:ind w:firstLine="42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анализа рисков нарушений антимонопольного законодательства за отчетный период не выявлено. </w:t>
      </w:r>
    </w:p>
    <w:p>
      <w:pPr>
        <w:ind w:firstLine="42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2025 год разработан и принят 161 нормативно-правовой акт, которые размещены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Анжеро-Судженского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Нормативные правовые акты, в которых УФАС выявлены нарушения антимонопольного законодательства в отчетный период, в администрации </w:t>
      </w:r>
      <w:r>
        <w:rPr>
          <w:rFonts w:ascii="Times New Roman" w:hAnsi="Times New Roman"/>
          <w:sz w:val="28"/>
          <w:szCs w:val="28"/>
        </w:rPr>
        <w:t>Анжеро-Судженского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Информация об исполнении мероприятий по снижению комплаенс - рисков. 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снижения уровня комплаенс-рисков, в 2025 году проведены следующие мероприятия:</w:t>
      </w:r>
    </w:p>
    <w:p>
      <w:pPr>
        <w:ind w:firstLine="42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-все муниципальные служащие ознакомлены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Положением об организации в </w:t>
      </w:r>
      <w:r>
        <w:rPr>
          <w:rFonts w:ascii="Times New Roman" w:hAnsi="Times New Roman" w:cs="Times New Roman"/>
          <w:sz w:val="28"/>
          <w:szCs w:val="28"/>
        </w:rPr>
        <w:t>администрации Анжеро-Судженского городского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системы внутреннего обеспечения требованиям антимонопольного законодательства;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-действует комиссия по соблюдению требований к служебному поведению муниципальных служащих Анжеро-Судженского городского округа;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постоянной основе проводится мониторинг изменений действующего законодательства. В целях выявления и оценки рисков нарушения антимонопольного законодательства в течение 2025 года уполномоченным органом проводился ряд аналитических мероприятий, благодаря чему риски нарушения антимонопольного законодательства отсутствуют.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Информация о достижении ключевых показателей эффективности антимонопольного комплаенса. 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ключевых показателей эффективности антимонопольного комплаенса за 2025 год составили: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-коэффициент снижения количества нарушений антимонопольного законодательства в 2025 году - 1;</w:t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эффективности выявления нарушений антимонопольного законодательства в нормативных правовых актах 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Анжеро-Судженского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уровень риска нарушения антимонопольного законодательства в администрации Анжеро-Судженского городского округа определен как низкий.</w:t>
      </w:r>
    </w:p>
    <w:p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566" w:bottom="993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8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2"/>
      <w:tmLastPosIdx w:val="83"/>
    </w:tmLastPosCaret>
    <w:tmLastPosAnchor>
      <w:tmLastPosPgfIdx w:val="0"/>
      <w:tmLastPosIdx w:val="0"/>
    </w:tmLastPosAnchor>
    <w:tmLastPosTblRect w:left="0" w:top="0" w:right="0" w:bottom="0"/>
  </w:tmLastPos>
  <w:tmAppRevision w:date="1770275370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</dc:creator>
  <cp:keywords/>
  <dc:description/>
  <cp:lastModifiedBy/>
  <cp:revision>28</cp:revision>
  <cp:lastPrinted>2024-04-08T09:27:00Z</cp:lastPrinted>
  <dcterms:created xsi:type="dcterms:W3CDTF">2024-04-04T04:08:00Z</dcterms:created>
  <dcterms:modified xsi:type="dcterms:W3CDTF">2026-02-05T07:09:30Z</dcterms:modified>
</cp:coreProperties>
</file>